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44" w:rsidRPr="0007515F" w:rsidRDefault="00010D44" w:rsidP="00010D44">
      <w:pPr>
        <w:jc w:val="center"/>
      </w:pPr>
      <w:r w:rsidRPr="0007515F">
        <w:t>JAMAICA</w:t>
      </w:r>
      <w:r w:rsidR="005B2E4B">
        <w:t xml:space="preserve"> LAW 4 OF 1910</w:t>
      </w:r>
      <w:r w:rsidRPr="0007515F">
        <w:t>.</w:t>
      </w:r>
    </w:p>
    <w:p w:rsidR="00C601FC" w:rsidRDefault="00C601FC" w:rsidP="001D6040">
      <w:pPr>
        <w:jc w:val="center"/>
      </w:pPr>
    </w:p>
    <w:p w:rsidR="00010D44" w:rsidRDefault="00010D44" w:rsidP="001D6040">
      <w:pPr>
        <w:jc w:val="center"/>
      </w:pPr>
      <w:r w:rsidRPr="0007515F">
        <w:t xml:space="preserve">A Law to </w:t>
      </w:r>
      <w:r w:rsidR="005B2E4B">
        <w:t>amend Law 51 of 1908 entitled the Post Office Law, 1908</w:t>
      </w:r>
      <w:r w:rsidRPr="0007515F">
        <w:t>.</w:t>
      </w:r>
    </w:p>
    <w:p w:rsidR="00427A54" w:rsidRPr="00A22B13" w:rsidRDefault="00427A54" w:rsidP="001D60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82"/>
        <w:gridCol w:w="2294"/>
      </w:tblGrid>
      <w:tr w:rsidR="00010D44" w:rsidRPr="00A22B13" w:rsidTr="00DA37A9">
        <w:trPr>
          <w:cantSplit/>
        </w:trPr>
        <w:tc>
          <w:tcPr>
            <w:tcW w:w="6982" w:type="dxa"/>
          </w:tcPr>
          <w:p w:rsidR="00010D44" w:rsidRPr="0007515F" w:rsidRDefault="005B2E4B" w:rsidP="00010D44">
            <w:pPr>
              <w:spacing w:before="60" w:after="60"/>
              <w:jc w:val="both"/>
            </w:pPr>
            <w:r>
              <w:t>B</w:t>
            </w:r>
            <w:r w:rsidRPr="007929A8">
              <w:t>E it enacted by the Gove</w:t>
            </w:r>
            <w:r>
              <w:t>r</w:t>
            </w:r>
            <w:r w:rsidRPr="007929A8">
              <w:t>nor and Legislative Council of Jamaica, as follows:</w:t>
            </w:r>
            <w:r w:rsidRPr="007929A8">
              <w:noBreakHyphen/>
            </w:r>
          </w:p>
        </w:tc>
        <w:tc>
          <w:tcPr>
            <w:tcW w:w="2294" w:type="dxa"/>
          </w:tcPr>
          <w:p w:rsidR="00010D44" w:rsidRPr="0007515F" w:rsidRDefault="00010D44" w:rsidP="00353967">
            <w:pPr>
              <w:spacing w:before="60" w:after="60"/>
              <w:jc w:val="both"/>
            </w:pPr>
          </w:p>
        </w:tc>
      </w:tr>
      <w:tr w:rsidR="005B2E4B" w:rsidRPr="00A22B13" w:rsidTr="00DA37A9">
        <w:trPr>
          <w:cantSplit/>
        </w:trPr>
        <w:tc>
          <w:tcPr>
            <w:tcW w:w="6982" w:type="dxa"/>
          </w:tcPr>
          <w:p w:rsidR="005B2E4B" w:rsidRPr="007929A8" w:rsidRDefault="005B2E4B" w:rsidP="00AA16A7">
            <w:pPr>
              <w:spacing w:before="60" w:after="60"/>
              <w:jc w:val="both"/>
            </w:pPr>
            <w:r w:rsidRPr="007929A8">
              <w:t>1</w:t>
            </w:r>
            <w:r w:rsidR="005174E4">
              <w:t xml:space="preserve"> – </w:t>
            </w:r>
            <w:r w:rsidRPr="007929A8">
              <w:t>This Law may be cited as The Post Office Amend</w:t>
            </w:r>
            <w:r>
              <w:t>m</w:t>
            </w:r>
            <w:r w:rsidRPr="007929A8">
              <w:t xml:space="preserve">ent Law 1910, and shall he </w:t>
            </w:r>
            <w:r>
              <w:t>r</w:t>
            </w:r>
            <w:r w:rsidRPr="007929A8">
              <w:t>ead as one with Law 51 of 1908 hereinafter called the Principal Law.</w:t>
            </w:r>
          </w:p>
        </w:tc>
        <w:tc>
          <w:tcPr>
            <w:tcW w:w="2294" w:type="dxa"/>
          </w:tcPr>
          <w:p w:rsidR="005B2E4B" w:rsidRPr="007929A8" w:rsidRDefault="005B2E4B" w:rsidP="00AA16A7">
            <w:pPr>
              <w:spacing w:before="60" w:after="60"/>
              <w:jc w:val="both"/>
            </w:pPr>
            <w:r>
              <w:t>S</w:t>
            </w:r>
            <w:r w:rsidRPr="007929A8">
              <w:t>ho</w:t>
            </w:r>
            <w:r>
              <w:t>r</w:t>
            </w:r>
            <w:r w:rsidRPr="007929A8">
              <w:t>t title.</w:t>
            </w:r>
          </w:p>
        </w:tc>
      </w:tr>
      <w:tr w:rsidR="005B2E4B" w:rsidRPr="00A22B13" w:rsidTr="00DA37A9">
        <w:trPr>
          <w:cantSplit/>
        </w:trPr>
        <w:tc>
          <w:tcPr>
            <w:tcW w:w="6982" w:type="dxa"/>
          </w:tcPr>
          <w:p w:rsidR="005B2E4B" w:rsidRPr="007929A8" w:rsidRDefault="005B2E4B" w:rsidP="00D02DB2">
            <w:pPr>
              <w:spacing w:before="60" w:after="60"/>
              <w:jc w:val="both"/>
            </w:pPr>
            <w:r w:rsidRPr="007929A8">
              <w:t>2</w:t>
            </w:r>
            <w:r w:rsidR="005174E4">
              <w:t xml:space="preserve"> – </w:t>
            </w:r>
            <w:r w:rsidRPr="007929A8">
              <w:t>Sections 5 and 23 of the Principal Law are hereby repealed.</w:t>
            </w:r>
          </w:p>
        </w:tc>
        <w:tc>
          <w:tcPr>
            <w:tcW w:w="2294" w:type="dxa"/>
          </w:tcPr>
          <w:p w:rsidR="005B2E4B" w:rsidRPr="007929A8" w:rsidRDefault="005B2E4B" w:rsidP="00D02DB2">
            <w:pPr>
              <w:spacing w:before="60" w:after="60"/>
              <w:jc w:val="both"/>
            </w:pPr>
            <w:r w:rsidRPr="007929A8">
              <w:t>Repeal of Sections 5 and 23 of La</w:t>
            </w:r>
            <w:r>
              <w:t xml:space="preserve">w </w:t>
            </w:r>
            <w:r w:rsidRPr="007929A8">
              <w:t>51</w:t>
            </w:r>
            <w:r>
              <w:t xml:space="preserve"> of 1908.</w:t>
            </w:r>
          </w:p>
        </w:tc>
      </w:tr>
      <w:tr w:rsidR="005B2E4B" w:rsidRPr="00A22B13" w:rsidTr="00DA37A9">
        <w:trPr>
          <w:cantSplit/>
        </w:trPr>
        <w:tc>
          <w:tcPr>
            <w:tcW w:w="6982" w:type="dxa"/>
          </w:tcPr>
          <w:p w:rsidR="005B2E4B" w:rsidRPr="007929A8" w:rsidRDefault="005B2E4B" w:rsidP="003376E4">
            <w:pPr>
              <w:spacing w:before="60" w:after="60"/>
              <w:jc w:val="both"/>
            </w:pPr>
            <w:r>
              <w:t>3</w:t>
            </w:r>
            <w:r w:rsidR="005174E4">
              <w:t xml:space="preserve"> – </w:t>
            </w:r>
            <w:r>
              <w:t>The words "</w:t>
            </w:r>
            <w:r w:rsidRPr="007929A8">
              <w:t>process proceeding" occurring in 3 of section 7 of the Principal Law are hereby repealed and in plac</w:t>
            </w:r>
            <w:r>
              <w:t>e and stead thereof the words "process or proceed</w:t>
            </w:r>
            <w:r w:rsidRPr="007929A8">
              <w:t>ings" substituted.</w:t>
            </w:r>
          </w:p>
        </w:tc>
        <w:tc>
          <w:tcPr>
            <w:tcW w:w="2294" w:type="dxa"/>
          </w:tcPr>
          <w:p w:rsidR="005B2E4B" w:rsidRPr="007929A8" w:rsidRDefault="005B2E4B" w:rsidP="003376E4">
            <w:pPr>
              <w:spacing w:before="60" w:after="60"/>
              <w:jc w:val="both"/>
            </w:pPr>
            <w:r>
              <w:t>Certain words in 3 of Section 7 of Law 51 of 1908 repealed and other words substituted.</w:t>
            </w:r>
          </w:p>
        </w:tc>
      </w:tr>
      <w:tr w:rsidR="005B2E4B" w:rsidRPr="00A22B13" w:rsidTr="00DA37A9">
        <w:trPr>
          <w:cantSplit/>
        </w:trPr>
        <w:tc>
          <w:tcPr>
            <w:tcW w:w="6982" w:type="dxa"/>
          </w:tcPr>
          <w:p w:rsidR="005B2E4B" w:rsidRPr="007929A8" w:rsidRDefault="005B2E4B" w:rsidP="00203504">
            <w:pPr>
              <w:spacing w:before="60" w:after="60"/>
              <w:jc w:val="both"/>
            </w:pPr>
            <w:r w:rsidRPr="007929A8">
              <w:t>4</w:t>
            </w:r>
            <w:r w:rsidR="005174E4">
              <w:t xml:space="preserve"> – </w:t>
            </w:r>
            <w:r w:rsidRPr="007929A8">
              <w:t xml:space="preserve">Sections 8 and </w:t>
            </w:r>
            <w:r>
              <w:t>9</w:t>
            </w:r>
            <w:r w:rsidRPr="007929A8">
              <w:t xml:space="preserve"> of the Principal Law and schedule A</w:t>
            </w:r>
            <w:r>
              <w:t xml:space="preserve"> </w:t>
            </w:r>
            <w:r w:rsidRPr="007929A8">
              <w:t>of the Principal Law are hereby repealed and in</w:t>
            </w:r>
            <w:r>
              <w:t xml:space="preserve"> pl</w:t>
            </w:r>
            <w:r w:rsidRPr="007929A8">
              <w:t>ace and</w:t>
            </w:r>
            <w:r>
              <w:t xml:space="preserve"> </w:t>
            </w:r>
            <w:r w:rsidRPr="007929A8">
              <w:t>stead thereof the following sections substituted</w:t>
            </w:r>
          </w:p>
        </w:tc>
        <w:tc>
          <w:tcPr>
            <w:tcW w:w="2294" w:type="dxa"/>
          </w:tcPr>
          <w:p w:rsidR="005B2E4B" w:rsidRDefault="005B2E4B" w:rsidP="00AA16A7">
            <w:pPr>
              <w:spacing w:before="60" w:after="60"/>
              <w:jc w:val="both"/>
            </w:pPr>
          </w:p>
        </w:tc>
      </w:tr>
      <w:tr w:rsidR="005B2E4B" w:rsidRPr="00A22B13" w:rsidTr="00DA37A9">
        <w:trPr>
          <w:cantSplit/>
        </w:trPr>
        <w:tc>
          <w:tcPr>
            <w:tcW w:w="6982" w:type="dxa"/>
          </w:tcPr>
          <w:p w:rsidR="005B2E4B" w:rsidRPr="007929A8" w:rsidRDefault="005B2E4B" w:rsidP="005B2E4B">
            <w:pPr>
              <w:spacing w:before="60" w:after="60"/>
              <w:ind w:left="568" w:hanging="284"/>
              <w:jc w:val="both"/>
            </w:pPr>
            <w:r w:rsidRPr="007929A8">
              <w:t xml:space="preserve">8. It shall be lawful for the Governor with the advice and consent of the Privy Council, to settle and </w:t>
            </w:r>
            <w:r>
              <w:t>f</w:t>
            </w:r>
            <w:r w:rsidRPr="007929A8">
              <w:t>rom time to time to vary and alter the rates for all</w:t>
            </w:r>
            <w:r>
              <w:t xml:space="preserve"> </w:t>
            </w:r>
            <w:r w:rsidRPr="007929A8">
              <w:t>letters,</w:t>
            </w:r>
            <w:r>
              <w:t xml:space="preserve"> </w:t>
            </w:r>
            <w:r w:rsidRPr="007929A8">
              <w:t>parcels,</w:t>
            </w:r>
            <w:r>
              <w:t xml:space="preserve"> </w:t>
            </w:r>
            <w:r w:rsidRPr="007929A8">
              <w:t>books,</w:t>
            </w:r>
            <w:r>
              <w:t xml:space="preserve"> </w:t>
            </w:r>
            <w:r w:rsidRPr="007929A8">
              <w:t>book-packets</w:t>
            </w:r>
            <w:r>
              <w:t xml:space="preserve"> </w:t>
            </w:r>
            <w:r w:rsidRPr="007929A8">
              <w:t>and</w:t>
            </w:r>
            <w:r>
              <w:t xml:space="preserve"> </w:t>
            </w:r>
            <w:r w:rsidRPr="007929A8">
              <w:t>newspapers</w:t>
            </w:r>
            <w:r w:rsidR="005174E4">
              <w:t>:</w:t>
            </w:r>
            <w:r w:rsidRPr="007929A8">
              <w:t xml:space="preserve"> Provided that until varied or altered as aforesaid the several rates of inland postage specified in Schedule A to this Law annexed, shall he payable and demandable on all letters, newspapers, parcels and book-packets passing through the Post Office in this Island.</w:t>
            </w:r>
          </w:p>
        </w:tc>
        <w:tc>
          <w:tcPr>
            <w:tcW w:w="2294" w:type="dxa"/>
          </w:tcPr>
          <w:p w:rsidR="005B2E4B" w:rsidRPr="007929A8" w:rsidRDefault="005B2E4B" w:rsidP="00FB3535">
            <w:pPr>
              <w:spacing w:before="60" w:after="60"/>
              <w:jc w:val="both"/>
            </w:pPr>
            <w:r w:rsidRPr="007929A8">
              <w:t>Substituted for Sec</w:t>
            </w:r>
            <w:r>
              <w:t>t</w:t>
            </w:r>
            <w:r w:rsidRPr="007929A8">
              <w:t>lion 8 of Law 51 of 1908.</w:t>
            </w:r>
          </w:p>
        </w:tc>
      </w:tr>
      <w:tr w:rsidR="005B2E4B" w:rsidRPr="00A22B13" w:rsidTr="00DA37A9">
        <w:trPr>
          <w:cantSplit/>
        </w:trPr>
        <w:tc>
          <w:tcPr>
            <w:tcW w:w="6982" w:type="dxa"/>
          </w:tcPr>
          <w:p w:rsidR="005B2E4B" w:rsidRPr="007929A8" w:rsidRDefault="005B2E4B" w:rsidP="005B2E4B">
            <w:pPr>
              <w:spacing w:before="60" w:after="60"/>
              <w:ind w:left="851" w:hanging="567"/>
              <w:jc w:val="both"/>
            </w:pPr>
            <w:r w:rsidRPr="007929A8">
              <w:t>9.</w:t>
            </w:r>
            <w:r>
              <w:t xml:space="preserve"> </w:t>
            </w:r>
            <w:r w:rsidRPr="007929A8">
              <w:t>(I.) The postages on all letters, and newspapers not intended to be sent out of this Island, passing through the Post Offices, or posted at, to be delivered from any Post Office, shall be prepaid by adhesive postage stamps of a value equal to the amount of postage</w:t>
            </w:r>
            <w:r>
              <w:t xml:space="preserve"> </w:t>
            </w:r>
            <w:r w:rsidRPr="007929A8">
              <w:t>chargeable</w:t>
            </w:r>
            <w:r>
              <w:t xml:space="preserve"> </w:t>
            </w:r>
            <w:r w:rsidRPr="007929A8">
              <w:t>thereon,</w:t>
            </w:r>
            <w:r>
              <w:t xml:space="preserve"> </w:t>
            </w:r>
            <w:r w:rsidRPr="007929A8">
              <w:t>respectively.</w:t>
            </w:r>
          </w:p>
        </w:tc>
        <w:tc>
          <w:tcPr>
            <w:tcW w:w="2294" w:type="dxa"/>
          </w:tcPr>
          <w:p w:rsidR="005B2E4B" w:rsidRPr="007929A8" w:rsidRDefault="005B2E4B" w:rsidP="004E0FFD">
            <w:pPr>
              <w:spacing w:before="60" w:after="60"/>
              <w:jc w:val="both"/>
            </w:pPr>
            <w:r w:rsidRPr="007929A8">
              <w:t>Substituted for Section 9, Law 51 of</w:t>
            </w:r>
            <w:r>
              <w:t xml:space="preserve"> </w:t>
            </w:r>
            <w:r w:rsidRPr="007929A8">
              <w:t>190</w:t>
            </w:r>
            <w:r>
              <w:t>8.</w:t>
            </w:r>
          </w:p>
        </w:tc>
      </w:tr>
      <w:tr w:rsidR="005B2E4B" w:rsidRPr="00A22B13" w:rsidTr="00DA37A9">
        <w:trPr>
          <w:cantSplit/>
        </w:trPr>
        <w:tc>
          <w:tcPr>
            <w:tcW w:w="6982" w:type="dxa"/>
          </w:tcPr>
          <w:p w:rsidR="005B2E4B" w:rsidRPr="007929A8" w:rsidRDefault="005174E4" w:rsidP="005B2E4B">
            <w:pPr>
              <w:spacing w:before="60" w:after="60"/>
              <w:ind w:left="851" w:hanging="567"/>
              <w:jc w:val="both"/>
            </w:pPr>
            <w:r>
              <w:t xml:space="preserve"> </w:t>
            </w:r>
            <w:r w:rsidR="005B2E4B" w:rsidRPr="007929A8">
              <w:t xml:space="preserve">(II.) Where the postage on any letter, newspaper or book-packet shall not be duly prepaid, double the postage or deficient postage thereon shall be paid by the person to whom the same shall be addressed before the delivery thereof to him, and in case of the refusal of such person to </w:t>
            </w:r>
            <w:r w:rsidR="005B2E4B">
              <w:t>r</w:t>
            </w:r>
            <w:r w:rsidR="005B2E4B" w:rsidRPr="007929A8">
              <w:t>eceive the same and to pay such double postage or deficient postage, or if he cannot be found, such double postage or deficient postage, and costs (if any), shall be recovered from the sender in like manne</w:t>
            </w:r>
            <w:r w:rsidR="005B2E4B">
              <w:t>r</w:t>
            </w:r>
            <w:r w:rsidR="005B2E4B" w:rsidRPr="007929A8">
              <w:t xml:space="preserve"> as duties of postage are recovered under section 56 of the P</w:t>
            </w:r>
            <w:r w:rsidR="005B2E4B">
              <w:t>r</w:t>
            </w:r>
            <w:r w:rsidR="005B2E4B" w:rsidRPr="007929A8">
              <w:t>incipal Law.</w:t>
            </w:r>
          </w:p>
        </w:tc>
        <w:tc>
          <w:tcPr>
            <w:tcW w:w="2294" w:type="dxa"/>
          </w:tcPr>
          <w:p w:rsidR="005B2E4B" w:rsidRPr="007929A8" w:rsidRDefault="005B2E4B" w:rsidP="004E0FFD">
            <w:pPr>
              <w:spacing w:before="60" w:after="60"/>
              <w:jc w:val="both"/>
            </w:pPr>
          </w:p>
        </w:tc>
      </w:tr>
      <w:tr w:rsidR="005B2E4B" w:rsidRPr="00A22B13" w:rsidTr="00DA37A9">
        <w:trPr>
          <w:cantSplit/>
        </w:trPr>
        <w:tc>
          <w:tcPr>
            <w:tcW w:w="6982" w:type="dxa"/>
          </w:tcPr>
          <w:p w:rsidR="005B2E4B" w:rsidRPr="007929A8" w:rsidRDefault="005174E4" w:rsidP="005B2E4B">
            <w:pPr>
              <w:spacing w:before="60" w:after="60"/>
              <w:ind w:left="851" w:hanging="567"/>
              <w:jc w:val="both"/>
            </w:pPr>
            <w:r>
              <w:t xml:space="preserve"> </w:t>
            </w:r>
            <w:r w:rsidR="005B2E4B" w:rsidRPr="007929A8">
              <w:t>(III.) The postages on all parcels not intended to be sent out of this Island, passing through the Post Offices, or posted at, to be delivered from any Post Office, shall be prepaid by adhesive postage stamps, of a value equal to the amount of postage chargeable thereon respectively</w:t>
            </w:r>
            <w:r>
              <w:t>:</w:t>
            </w:r>
            <w:r w:rsidR="005B2E4B" w:rsidRPr="007929A8">
              <w:t xml:space="preserve"> Provided that no pa</w:t>
            </w:r>
            <w:r w:rsidR="005B2E4B">
              <w:t>r</w:t>
            </w:r>
            <w:r w:rsidR="005B2E4B" w:rsidRPr="007929A8">
              <w:t>cel shall be forwarded by the post, unless the same shall be prepaid as aforesaid.</w:t>
            </w:r>
          </w:p>
        </w:tc>
        <w:tc>
          <w:tcPr>
            <w:tcW w:w="2294" w:type="dxa"/>
          </w:tcPr>
          <w:p w:rsidR="005B2E4B" w:rsidRPr="007929A8" w:rsidRDefault="005B2E4B" w:rsidP="004E0FFD">
            <w:pPr>
              <w:spacing w:before="60" w:after="60"/>
              <w:jc w:val="both"/>
            </w:pPr>
          </w:p>
        </w:tc>
      </w:tr>
      <w:tr w:rsidR="005B2E4B" w:rsidRPr="00A22B13" w:rsidTr="00DA37A9">
        <w:trPr>
          <w:cantSplit/>
        </w:trPr>
        <w:tc>
          <w:tcPr>
            <w:tcW w:w="6982" w:type="dxa"/>
          </w:tcPr>
          <w:p w:rsidR="005B2E4B" w:rsidRPr="007929A8" w:rsidRDefault="005B2E4B" w:rsidP="005B2E4B">
            <w:pPr>
              <w:spacing w:before="60" w:after="60"/>
              <w:ind w:left="851" w:hanging="567"/>
              <w:jc w:val="both"/>
            </w:pPr>
            <w:r w:rsidRPr="007929A8">
              <w:lastRenderedPageBreak/>
              <w:t>5</w:t>
            </w:r>
            <w:r w:rsidR="005174E4">
              <w:t xml:space="preserve"> – </w:t>
            </w:r>
            <w:r w:rsidRPr="007929A8">
              <w:t>The provision of sub-section 1 of section 24 of the Principal Law shall not apply to foreign parcels.</w:t>
            </w:r>
          </w:p>
        </w:tc>
        <w:tc>
          <w:tcPr>
            <w:tcW w:w="2294" w:type="dxa"/>
          </w:tcPr>
          <w:p w:rsidR="005B2E4B" w:rsidRPr="007929A8" w:rsidRDefault="005B2E4B" w:rsidP="005B2E4B">
            <w:pPr>
              <w:spacing w:before="60" w:after="60"/>
              <w:jc w:val="both"/>
            </w:pPr>
            <w:r w:rsidRPr="007929A8">
              <w:t xml:space="preserve">Sub-section </w:t>
            </w:r>
            <w:r>
              <w:t>1</w:t>
            </w:r>
            <w:r w:rsidRPr="007929A8">
              <w:t xml:space="preserve"> of Secti</w:t>
            </w:r>
            <w:r>
              <w:t>o</w:t>
            </w:r>
            <w:r w:rsidRPr="007929A8">
              <w:t xml:space="preserve">n 24 of Law 51 of </w:t>
            </w:r>
            <w:r>
              <w:t>1908</w:t>
            </w:r>
            <w:r w:rsidRPr="007929A8">
              <w:t>, not to apply to foreign parcels</w:t>
            </w:r>
          </w:p>
        </w:tc>
      </w:tr>
    </w:tbl>
    <w:p w:rsidR="005B2E4B" w:rsidRDefault="005B2E4B"/>
    <w:p w:rsidR="005B2E4B" w:rsidRDefault="005B2E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82"/>
        <w:gridCol w:w="2294"/>
      </w:tblGrid>
      <w:tr w:rsidR="005B2E4B" w:rsidRPr="00A22B13" w:rsidTr="00DA37A9">
        <w:trPr>
          <w:cantSplit/>
        </w:trPr>
        <w:tc>
          <w:tcPr>
            <w:tcW w:w="6982" w:type="dxa"/>
          </w:tcPr>
          <w:p w:rsidR="005B2E4B" w:rsidRPr="007929A8" w:rsidRDefault="005B2E4B" w:rsidP="005B2E4B">
            <w:pPr>
              <w:spacing w:before="60" w:after="60"/>
              <w:ind w:left="2160"/>
              <w:jc w:val="center"/>
            </w:pPr>
            <w:r w:rsidRPr="007929A8">
              <w:t>SCHEDULE A.</w:t>
            </w:r>
            <w:r w:rsidRPr="007929A8">
              <w:tab/>
              <w:t>(Section 8.)</w:t>
            </w:r>
          </w:p>
          <w:p w:rsidR="005B2E4B" w:rsidRPr="007929A8" w:rsidRDefault="005B2E4B" w:rsidP="005B2E4B">
            <w:pPr>
              <w:ind w:left="2160"/>
              <w:jc w:val="center"/>
            </w:pPr>
            <w:r w:rsidRPr="007929A8">
              <w:t>SCHEDULE OF POSTAGES.</w:t>
            </w:r>
          </w:p>
        </w:tc>
        <w:tc>
          <w:tcPr>
            <w:tcW w:w="2294" w:type="dxa"/>
          </w:tcPr>
          <w:p w:rsidR="005B2E4B" w:rsidRPr="007929A8" w:rsidRDefault="005B2E4B" w:rsidP="005B2E4B">
            <w:pPr>
              <w:spacing w:before="60" w:after="60"/>
              <w:jc w:val="both"/>
            </w:pPr>
            <w:r>
              <w:t>Substituted for Schedule A of Law 51 of 1908.</w:t>
            </w:r>
          </w:p>
        </w:tc>
      </w:tr>
    </w:tbl>
    <w:p w:rsidR="00302054" w:rsidRDefault="00302054" w:rsidP="00514790">
      <w:pPr>
        <w:jc w:val="both"/>
      </w:pPr>
    </w:p>
    <w:p w:rsidR="007929A8" w:rsidRDefault="007929A8"/>
    <w:p w:rsidR="005B2E4B" w:rsidRDefault="005B2E4B"/>
    <w:tbl>
      <w:tblPr>
        <w:tblW w:w="9629" w:type="dxa"/>
        <w:tblInd w:w="5" w:type="dxa"/>
        <w:tblLayout w:type="fixed"/>
        <w:tblCellMar>
          <w:left w:w="85" w:type="dxa"/>
          <w:right w:w="85" w:type="dxa"/>
        </w:tblCellMar>
        <w:tblLook w:val="0000"/>
      </w:tblPr>
      <w:tblGrid>
        <w:gridCol w:w="1356"/>
        <w:gridCol w:w="907"/>
        <w:gridCol w:w="907"/>
        <w:gridCol w:w="1247"/>
        <w:gridCol w:w="1121"/>
        <w:gridCol w:w="1304"/>
        <w:gridCol w:w="1361"/>
        <w:gridCol w:w="1426"/>
      </w:tblGrid>
      <w:tr w:rsidR="00B91326" w:rsidRPr="007929A8" w:rsidTr="00B91326">
        <w:tblPrEx>
          <w:tblCellMar>
            <w:top w:w="0" w:type="dxa"/>
            <w:bottom w:w="0" w:type="dxa"/>
          </w:tblCellMar>
        </w:tblPrEx>
        <w:tc>
          <w:tcPr>
            <w:tcW w:w="1356"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LETTERS</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POST- CARDS</w:t>
            </w:r>
          </w:p>
        </w:tc>
        <w:tc>
          <w:tcPr>
            <w:tcW w:w="1247" w:type="dxa"/>
            <w:vMerge w:val="restart"/>
            <w:tcBorders>
              <w:top w:val="single" w:sz="4" w:space="0" w:color="auto"/>
              <w:left w:val="single" w:sz="4" w:space="0" w:color="auto"/>
              <w:right w:val="single" w:sz="4" w:space="0" w:color="auto"/>
            </w:tcBorders>
            <w:vAlign w:val="center"/>
          </w:tcPr>
          <w:p w:rsidR="00B91326" w:rsidRPr="007929A8" w:rsidRDefault="00B91326" w:rsidP="00B91326">
            <w:pPr>
              <w:spacing w:before="60" w:after="60"/>
              <w:jc w:val="center"/>
            </w:pPr>
            <w:r w:rsidRPr="007929A8">
              <w:t>Newspapers</w:t>
            </w:r>
            <w:r>
              <w:t xml:space="preserve"> </w:t>
            </w:r>
            <w:r w:rsidRPr="007929A8">
              <w:t>each</w:t>
            </w:r>
          </w:p>
        </w:tc>
        <w:tc>
          <w:tcPr>
            <w:tcW w:w="1121" w:type="dxa"/>
            <w:vMerge w:val="restart"/>
            <w:tcBorders>
              <w:top w:val="single" w:sz="4" w:space="0" w:color="auto"/>
              <w:left w:val="single" w:sz="4" w:space="0" w:color="auto"/>
              <w:right w:val="single" w:sz="4" w:space="0" w:color="auto"/>
            </w:tcBorders>
            <w:vAlign w:val="center"/>
          </w:tcPr>
          <w:p w:rsidR="00B91326" w:rsidRPr="007929A8" w:rsidRDefault="00B91326" w:rsidP="00B91326">
            <w:pPr>
              <w:spacing w:before="60" w:after="60"/>
              <w:jc w:val="center"/>
            </w:pPr>
            <w:r w:rsidRPr="007929A8">
              <w:t>Prices Current each</w:t>
            </w:r>
          </w:p>
        </w:tc>
        <w:tc>
          <w:tcPr>
            <w:tcW w:w="1304"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BOOK</w:t>
            </w:r>
            <w:r>
              <w:br/>
              <w:t>PACKETS</w:t>
            </w:r>
          </w:p>
        </w:tc>
        <w:tc>
          <w:tcPr>
            <w:tcW w:w="1361"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PARCELS</w:t>
            </w:r>
          </w:p>
        </w:tc>
        <w:tc>
          <w:tcPr>
            <w:tcW w:w="1426"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Registration</w:t>
            </w:r>
            <w:r w:rsidRPr="007929A8">
              <w:br/>
              <w:t>Fee.</w:t>
            </w:r>
          </w:p>
        </w:tc>
      </w:tr>
      <w:tr w:rsidR="00B91326" w:rsidRPr="007929A8" w:rsidTr="00B91326">
        <w:tblPrEx>
          <w:tblCellMar>
            <w:top w:w="0" w:type="dxa"/>
            <w:bottom w:w="0" w:type="dxa"/>
          </w:tblCellMar>
        </w:tblPrEx>
        <w:tc>
          <w:tcPr>
            <w:tcW w:w="1356"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For each</w:t>
            </w:r>
            <w:r>
              <w:br/>
              <w:t>ounce</w:t>
            </w:r>
            <w:r>
              <w:br/>
            </w:r>
            <w:r w:rsidRPr="007929A8">
              <w:t>or fractional</w:t>
            </w:r>
            <w:r>
              <w:br/>
            </w:r>
            <w:r w:rsidRPr="007929A8">
              <w:t>part thereof.</w:t>
            </w:r>
          </w:p>
        </w:tc>
        <w:tc>
          <w:tcPr>
            <w:tcW w:w="907"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Single.</w:t>
            </w:r>
          </w:p>
        </w:tc>
        <w:tc>
          <w:tcPr>
            <w:tcW w:w="907"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Reply</w:t>
            </w:r>
            <w:r>
              <w:br/>
            </w:r>
            <w:r w:rsidRPr="007929A8">
              <w:t>paid.</w:t>
            </w:r>
          </w:p>
        </w:tc>
        <w:tc>
          <w:tcPr>
            <w:tcW w:w="1247" w:type="dxa"/>
            <w:vMerge/>
            <w:tcBorders>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p>
        </w:tc>
        <w:tc>
          <w:tcPr>
            <w:tcW w:w="1121" w:type="dxa"/>
            <w:vMerge/>
            <w:tcBorders>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p>
        </w:tc>
        <w:tc>
          <w:tcPr>
            <w:tcW w:w="1304"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For</w:t>
            </w:r>
            <w:r>
              <w:t xml:space="preserve"> each</w:t>
            </w:r>
            <w:r>
              <w:br/>
              <w:t>two ounces,</w:t>
            </w:r>
            <w:r>
              <w:br/>
              <w:t>or fractional</w:t>
            </w:r>
            <w:r>
              <w:br/>
            </w:r>
            <w:r w:rsidRPr="007929A8">
              <w:t>part thereof.</w:t>
            </w:r>
          </w:p>
        </w:tc>
        <w:tc>
          <w:tcPr>
            <w:tcW w:w="1361"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For each</w:t>
            </w:r>
            <w:r>
              <w:br/>
            </w:r>
            <w:r w:rsidRPr="007929A8">
              <w:t>two ounces</w:t>
            </w:r>
            <w:r>
              <w:br/>
              <w:t>or</w:t>
            </w:r>
            <w:r w:rsidRPr="007929A8">
              <w:t xml:space="preserve"> fractional,</w:t>
            </w:r>
            <w:r>
              <w:br/>
            </w:r>
            <w:r w:rsidRPr="007929A8">
              <w:t>part thereo</w:t>
            </w:r>
            <w:r>
              <w:t>f</w:t>
            </w:r>
          </w:p>
        </w:tc>
        <w:tc>
          <w:tcPr>
            <w:tcW w:w="1426"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p>
        </w:tc>
      </w:tr>
      <w:tr w:rsidR="00B91326" w:rsidRPr="007929A8" w:rsidTr="00B91326">
        <w:tblPrEx>
          <w:tblCellMar>
            <w:top w:w="0" w:type="dxa"/>
            <w:bottom w:w="0" w:type="dxa"/>
          </w:tblCellMar>
        </w:tblPrEx>
        <w:tc>
          <w:tcPr>
            <w:tcW w:w="1356"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t>One penny</w:t>
            </w:r>
          </w:p>
        </w:tc>
        <w:tc>
          <w:tcPr>
            <w:tcW w:w="907"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t>Half- penny</w:t>
            </w:r>
          </w:p>
        </w:tc>
        <w:tc>
          <w:tcPr>
            <w:tcW w:w="907"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 xml:space="preserve">One </w:t>
            </w:r>
            <w:r>
              <w:t>p</w:t>
            </w:r>
            <w:r w:rsidRPr="007929A8">
              <w:t>enny</w:t>
            </w:r>
          </w:p>
        </w:tc>
        <w:tc>
          <w:tcPr>
            <w:tcW w:w="1247"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Half-penny</w:t>
            </w:r>
          </w:p>
        </w:tc>
        <w:tc>
          <w:tcPr>
            <w:tcW w:w="1121"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t>Half-penny</w:t>
            </w:r>
          </w:p>
        </w:tc>
        <w:tc>
          <w:tcPr>
            <w:tcW w:w="1304"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Half-penny</w:t>
            </w:r>
          </w:p>
        </w:tc>
        <w:tc>
          <w:tcPr>
            <w:tcW w:w="1361"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rsidRPr="007929A8">
              <w:t>One penny</w:t>
            </w:r>
          </w:p>
        </w:tc>
        <w:tc>
          <w:tcPr>
            <w:tcW w:w="1426" w:type="dxa"/>
            <w:tcBorders>
              <w:top w:val="single" w:sz="4" w:space="0" w:color="auto"/>
              <w:left w:val="single" w:sz="4" w:space="0" w:color="auto"/>
              <w:bottom w:val="single" w:sz="4" w:space="0" w:color="auto"/>
              <w:right w:val="single" w:sz="4" w:space="0" w:color="auto"/>
            </w:tcBorders>
            <w:vAlign w:val="center"/>
          </w:tcPr>
          <w:p w:rsidR="00B91326" w:rsidRPr="007929A8" w:rsidRDefault="00B91326" w:rsidP="00B91326">
            <w:pPr>
              <w:spacing w:before="60" w:after="60"/>
              <w:jc w:val="center"/>
            </w:pPr>
            <w:r>
              <w:t>Two pence</w:t>
            </w:r>
          </w:p>
        </w:tc>
      </w:tr>
    </w:tbl>
    <w:p w:rsidR="007929A8" w:rsidRDefault="007929A8"/>
    <w:p w:rsidR="008C428A" w:rsidRDefault="008C428A" w:rsidP="008C428A">
      <w:pPr>
        <w:jc w:val="center"/>
      </w:pPr>
      <w:r w:rsidRPr="007929A8">
        <w:t>LETTERS OF SEAMEN AND SOLDIERS.</w:t>
      </w:r>
    </w:p>
    <w:p w:rsidR="008C428A" w:rsidRDefault="008C428A"/>
    <w:tbl>
      <w:tblPr>
        <w:tblW w:w="9301" w:type="dxa"/>
        <w:tblInd w:w="5" w:type="dxa"/>
        <w:tblLayout w:type="fixed"/>
        <w:tblCellMar>
          <w:left w:w="85" w:type="dxa"/>
          <w:right w:w="85" w:type="dxa"/>
        </w:tblCellMar>
        <w:tblLook w:val="0000"/>
      </w:tblPr>
      <w:tblGrid>
        <w:gridCol w:w="2320"/>
        <w:gridCol w:w="1928"/>
        <w:gridCol w:w="5053"/>
      </w:tblGrid>
      <w:tr w:rsidR="007929A8" w:rsidRPr="007929A8" w:rsidTr="008C428A">
        <w:tblPrEx>
          <w:tblCellMar>
            <w:top w:w="0" w:type="dxa"/>
            <w:bottom w:w="0" w:type="dxa"/>
          </w:tblCellMar>
        </w:tblPrEx>
        <w:tc>
          <w:tcPr>
            <w:tcW w:w="2320" w:type="dxa"/>
            <w:tcBorders>
              <w:top w:val="single" w:sz="4" w:space="0" w:color="auto"/>
              <w:left w:val="single" w:sz="4" w:space="0" w:color="auto"/>
              <w:bottom w:val="single" w:sz="4" w:space="0" w:color="auto"/>
              <w:right w:val="single" w:sz="4" w:space="0" w:color="auto"/>
            </w:tcBorders>
            <w:vAlign w:val="center"/>
          </w:tcPr>
          <w:p w:rsidR="007929A8" w:rsidRPr="007929A8" w:rsidRDefault="007929A8" w:rsidP="008C428A">
            <w:pPr>
              <w:spacing w:before="60" w:after="60"/>
              <w:jc w:val="center"/>
            </w:pPr>
          </w:p>
        </w:tc>
        <w:tc>
          <w:tcPr>
            <w:tcW w:w="1928" w:type="dxa"/>
            <w:tcBorders>
              <w:top w:val="single" w:sz="4" w:space="0" w:color="auto"/>
              <w:left w:val="single" w:sz="4" w:space="0" w:color="auto"/>
              <w:bottom w:val="single" w:sz="4" w:space="0" w:color="auto"/>
              <w:right w:val="single" w:sz="4" w:space="0" w:color="auto"/>
            </w:tcBorders>
            <w:vAlign w:val="center"/>
          </w:tcPr>
          <w:p w:rsidR="007929A8" w:rsidRPr="007929A8" w:rsidRDefault="008C428A" w:rsidP="008C428A">
            <w:pPr>
              <w:spacing w:before="60" w:after="60"/>
              <w:jc w:val="both"/>
            </w:pPr>
            <w:r>
              <w:t>Not exceeding half an o</w:t>
            </w:r>
            <w:r w:rsidR="007929A8" w:rsidRPr="007929A8">
              <w:t>unce in weight.</w:t>
            </w:r>
          </w:p>
        </w:tc>
        <w:tc>
          <w:tcPr>
            <w:tcW w:w="5053" w:type="dxa"/>
            <w:tcBorders>
              <w:top w:val="single" w:sz="4" w:space="0" w:color="auto"/>
              <w:left w:val="single" w:sz="4" w:space="0" w:color="auto"/>
              <w:bottom w:val="single" w:sz="4" w:space="0" w:color="auto"/>
              <w:right w:val="single" w:sz="4" w:space="0" w:color="auto"/>
            </w:tcBorders>
            <w:vAlign w:val="center"/>
          </w:tcPr>
          <w:p w:rsidR="007929A8" w:rsidRPr="007929A8" w:rsidRDefault="007929A8" w:rsidP="008C428A">
            <w:pPr>
              <w:spacing w:before="60" w:after="60"/>
              <w:jc w:val="center"/>
            </w:pPr>
            <w:r w:rsidRPr="007929A8">
              <w:t>Remarks.</w:t>
            </w:r>
          </w:p>
        </w:tc>
      </w:tr>
      <w:tr w:rsidR="007929A8" w:rsidRPr="007929A8" w:rsidTr="008C428A">
        <w:tblPrEx>
          <w:tblCellMar>
            <w:top w:w="0" w:type="dxa"/>
            <w:bottom w:w="0" w:type="dxa"/>
          </w:tblCellMar>
        </w:tblPrEx>
        <w:tc>
          <w:tcPr>
            <w:tcW w:w="2320" w:type="dxa"/>
            <w:tcBorders>
              <w:top w:val="single" w:sz="4" w:space="0" w:color="auto"/>
              <w:left w:val="single" w:sz="4" w:space="0" w:color="auto"/>
              <w:bottom w:val="single" w:sz="4" w:space="0" w:color="auto"/>
              <w:right w:val="single" w:sz="4" w:space="0" w:color="auto"/>
            </w:tcBorders>
            <w:vAlign w:val="center"/>
          </w:tcPr>
          <w:p w:rsidR="007929A8" w:rsidRPr="007929A8" w:rsidRDefault="007929A8" w:rsidP="008C428A">
            <w:pPr>
              <w:spacing w:before="60" w:after="60"/>
              <w:jc w:val="both"/>
            </w:pPr>
            <w:r w:rsidRPr="007929A8">
              <w:t>For a letter to or fr</w:t>
            </w:r>
            <w:r w:rsidR="008C428A">
              <w:t>o</w:t>
            </w:r>
            <w:r w:rsidRPr="007929A8">
              <w:t>m a Seaman or Soldier in His Majesty's service addressed t</w:t>
            </w:r>
            <w:r w:rsidR="008C428A">
              <w:t>o</w:t>
            </w:r>
            <w:r w:rsidRPr="007929A8">
              <w:t xml:space="preserve"> or originating in a country not participa</w:t>
            </w:r>
            <w:r w:rsidR="008C428A">
              <w:t>t</w:t>
            </w:r>
            <w:r w:rsidRPr="007929A8">
              <w:t xml:space="preserve">ing in the </w:t>
            </w:r>
            <w:r w:rsidR="008C428A">
              <w:t>1</w:t>
            </w:r>
            <w:r w:rsidRPr="007929A8">
              <w:t>d. postage scheme</w:t>
            </w:r>
          </w:p>
        </w:tc>
        <w:tc>
          <w:tcPr>
            <w:tcW w:w="1928" w:type="dxa"/>
            <w:tcBorders>
              <w:top w:val="single" w:sz="4" w:space="0" w:color="auto"/>
              <w:left w:val="single" w:sz="4" w:space="0" w:color="auto"/>
              <w:bottom w:val="single" w:sz="4" w:space="0" w:color="auto"/>
              <w:right w:val="single" w:sz="4" w:space="0" w:color="auto"/>
            </w:tcBorders>
            <w:vAlign w:val="center"/>
          </w:tcPr>
          <w:p w:rsidR="007929A8" w:rsidRPr="007929A8" w:rsidRDefault="007929A8" w:rsidP="008C428A">
            <w:pPr>
              <w:spacing w:before="60" w:after="60"/>
              <w:jc w:val="center"/>
            </w:pPr>
            <w:r w:rsidRPr="007929A8">
              <w:t>One penny</w:t>
            </w:r>
          </w:p>
        </w:tc>
        <w:tc>
          <w:tcPr>
            <w:tcW w:w="5053" w:type="dxa"/>
            <w:tcBorders>
              <w:top w:val="single" w:sz="4" w:space="0" w:color="auto"/>
              <w:left w:val="single" w:sz="4" w:space="0" w:color="auto"/>
              <w:bottom w:val="single" w:sz="4" w:space="0" w:color="auto"/>
              <w:right w:val="single" w:sz="4" w:space="0" w:color="auto"/>
            </w:tcBorders>
            <w:vAlign w:val="center"/>
          </w:tcPr>
          <w:p w:rsidR="007929A8" w:rsidRPr="007929A8" w:rsidRDefault="007929A8" w:rsidP="008C428A">
            <w:pPr>
              <w:spacing w:before="60" w:after="60"/>
              <w:jc w:val="both"/>
            </w:pPr>
            <w:r w:rsidRPr="007929A8">
              <w:t xml:space="preserve">If exceeding half an ounce in weight, </w:t>
            </w:r>
            <w:r w:rsidR="008C428A">
              <w:t>o</w:t>
            </w:r>
            <w:r w:rsidRPr="007929A8">
              <w:t>r if not pr</w:t>
            </w:r>
            <w:r w:rsidR="008C428A">
              <w:t>o</w:t>
            </w:r>
            <w:r w:rsidRPr="007929A8">
              <w:t>perly addressed to him or if from him not properly franked by his commanding officer the letter ceases to be privileged, and is liable to the ordinary rates of postage.</w:t>
            </w:r>
          </w:p>
        </w:tc>
      </w:tr>
    </w:tbl>
    <w:p w:rsidR="007929A8" w:rsidRDefault="007929A8" w:rsidP="007929A8">
      <w:pPr>
        <w:spacing w:before="60" w:after="60"/>
        <w:jc w:val="both"/>
      </w:pPr>
    </w:p>
    <w:p w:rsidR="007929A8" w:rsidRDefault="007929A8" w:rsidP="007929A8">
      <w:pPr>
        <w:spacing w:before="60" w:after="60"/>
        <w:jc w:val="both"/>
      </w:pPr>
    </w:p>
    <w:sectPr w:rsidR="007929A8" w:rsidSect="0099590A">
      <w:headerReference w:type="default" r:id="rId7"/>
      <w:pgSz w:w="12240" w:h="15840"/>
      <w:pgMar w:top="1440" w:right="1740" w:bottom="111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FD6" w:rsidRDefault="00A17FD6" w:rsidP="00AB1590">
      <w:r>
        <w:separator/>
      </w:r>
    </w:p>
  </w:endnote>
  <w:endnote w:type="continuationSeparator" w:id="0">
    <w:p w:rsidR="00A17FD6" w:rsidRDefault="00A17FD6" w:rsidP="00AB1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FD6" w:rsidRDefault="00A17FD6" w:rsidP="00AB1590">
      <w:r>
        <w:separator/>
      </w:r>
    </w:p>
  </w:footnote>
  <w:footnote w:type="continuationSeparator" w:id="0">
    <w:p w:rsidR="00A17FD6" w:rsidRDefault="00A17FD6" w:rsidP="00AB1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A1" w:rsidRPr="0033303B" w:rsidRDefault="000276A1" w:rsidP="00AB1590">
    <w:pPr>
      <w:jc w:val="center"/>
    </w:pPr>
    <w:r>
      <w:t xml:space="preserve">Jamaica Post Office </w:t>
    </w:r>
    <w:r w:rsidR="007929A8">
      <w:t>Act of 1910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8E2"/>
    <w:multiLevelType w:val="hybridMultilevel"/>
    <w:tmpl w:val="94DAE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1590"/>
    <w:rsid w:val="00010D44"/>
    <w:rsid w:val="00014334"/>
    <w:rsid w:val="00026510"/>
    <w:rsid w:val="000276A1"/>
    <w:rsid w:val="0003072B"/>
    <w:rsid w:val="0004685B"/>
    <w:rsid w:val="000609B2"/>
    <w:rsid w:val="00065779"/>
    <w:rsid w:val="0007515F"/>
    <w:rsid w:val="000D133A"/>
    <w:rsid w:val="00177548"/>
    <w:rsid w:val="00187F53"/>
    <w:rsid w:val="001B3F39"/>
    <w:rsid w:val="001D6040"/>
    <w:rsid w:val="001F2839"/>
    <w:rsid w:val="002016A3"/>
    <w:rsid w:val="00221DCE"/>
    <w:rsid w:val="00235784"/>
    <w:rsid w:val="0025180F"/>
    <w:rsid w:val="002860A8"/>
    <w:rsid w:val="002A133F"/>
    <w:rsid w:val="002C338C"/>
    <w:rsid w:val="00302054"/>
    <w:rsid w:val="00307D4F"/>
    <w:rsid w:val="00321296"/>
    <w:rsid w:val="0033303B"/>
    <w:rsid w:val="00357F50"/>
    <w:rsid w:val="003C1CAA"/>
    <w:rsid w:val="003E6807"/>
    <w:rsid w:val="003F4BFF"/>
    <w:rsid w:val="00404B91"/>
    <w:rsid w:val="00413FD8"/>
    <w:rsid w:val="00427A54"/>
    <w:rsid w:val="004348F3"/>
    <w:rsid w:val="00435731"/>
    <w:rsid w:val="00437977"/>
    <w:rsid w:val="00443B4E"/>
    <w:rsid w:val="0044432E"/>
    <w:rsid w:val="004521EF"/>
    <w:rsid w:val="004751EF"/>
    <w:rsid w:val="004B5064"/>
    <w:rsid w:val="004B60C9"/>
    <w:rsid w:val="004D6418"/>
    <w:rsid w:val="004E4CF1"/>
    <w:rsid w:val="004F2F4B"/>
    <w:rsid w:val="004F50BF"/>
    <w:rsid w:val="00514790"/>
    <w:rsid w:val="005174E4"/>
    <w:rsid w:val="00532498"/>
    <w:rsid w:val="005610CC"/>
    <w:rsid w:val="00562F20"/>
    <w:rsid w:val="005B2E4B"/>
    <w:rsid w:val="005E0138"/>
    <w:rsid w:val="00601617"/>
    <w:rsid w:val="00673893"/>
    <w:rsid w:val="00690018"/>
    <w:rsid w:val="006A32C4"/>
    <w:rsid w:val="006D068C"/>
    <w:rsid w:val="006E6031"/>
    <w:rsid w:val="00716FE6"/>
    <w:rsid w:val="0072507A"/>
    <w:rsid w:val="0072632E"/>
    <w:rsid w:val="00733709"/>
    <w:rsid w:val="0074547F"/>
    <w:rsid w:val="00791467"/>
    <w:rsid w:val="007929A8"/>
    <w:rsid w:val="007A0189"/>
    <w:rsid w:val="007A7FD3"/>
    <w:rsid w:val="007B5CF5"/>
    <w:rsid w:val="00836D2D"/>
    <w:rsid w:val="00862517"/>
    <w:rsid w:val="008C428A"/>
    <w:rsid w:val="008E6755"/>
    <w:rsid w:val="00901735"/>
    <w:rsid w:val="00906905"/>
    <w:rsid w:val="0093677D"/>
    <w:rsid w:val="009563D6"/>
    <w:rsid w:val="00972DA1"/>
    <w:rsid w:val="00977342"/>
    <w:rsid w:val="00981F7C"/>
    <w:rsid w:val="009E5167"/>
    <w:rsid w:val="009E5EDF"/>
    <w:rsid w:val="009E648B"/>
    <w:rsid w:val="009F10A5"/>
    <w:rsid w:val="00A16EE7"/>
    <w:rsid w:val="00A17FD6"/>
    <w:rsid w:val="00A216BC"/>
    <w:rsid w:val="00A22B13"/>
    <w:rsid w:val="00A86E84"/>
    <w:rsid w:val="00AB1590"/>
    <w:rsid w:val="00AB42F1"/>
    <w:rsid w:val="00AE6742"/>
    <w:rsid w:val="00AF1663"/>
    <w:rsid w:val="00AF6799"/>
    <w:rsid w:val="00B22664"/>
    <w:rsid w:val="00B31857"/>
    <w:rsid w:val="00B749A8"/>
    <w:rsid w:val="00B87D4F"/>
    <w:rsid w:val="00B90B98"/>
    <w:rsid w:val="00B91326"/>
    <w:rsid w:val="00C243D5"/>
    <w:rsid w:val="00C45975"/>
    <w:rsid w:val="00C601FC"/>
    <w:rsid w:val="00C72EFF"/>
    <w:rsid w:val="00C8076C"/>
    <w:rsid w:val="00C84F61"/>
    <w:rsid w:val="00C86B0F"/>
    <w:rsid w:val="00CB4E6C"/>
    <w:rsid w:val="00CD22F3"/>
    <w:rsid w:val="00CD74B0"/>
    <w:rsid w:val="00D37BB3"/>
    <w:rsid w:val="00D37C19"/>
    <w:rsid w:val="00D51E26"/>
    <w:rsid w:val="00D52939"/>
    <w:rsid w:val="00D5772F"/>
    <w:rsid w:val="00D74B2D"/>
    <w:rsid w:val="00DA37A9"/>
    <w:rsid w:val="00DE74E1"/>
    <w:rsid w:val="00DF0ECE"/>
    <w:rsid w:val="00EA2777"/>
    <w:rsid w:val="00EB6201"/>
    <w:rsid w:val="00EC5867"/>
    <w:rsid w:val="00ED0D2D"/>
    <w:rsid w:val="00ED0D4F"/>
    <w:rsid w:val="00ED1636"/>
    <w:rsid w:val="00ED5EF9"/>
    <w:rsid w:val="00ED77D1"/>
    <w:rsid w:val="00EE2FEE"/>
    <w:rsid w:val="00EF0CDF"/>
    <w:rsid w:val="00F1592B"/>
    <w:rsid w:val="00F41668"/>
    <w:rsid w:val="00F63AFC"/>
    <w:rsid w:val="00F768EA"/>
    <w:rsid w:val="00F87962"/>
    <w:rsid w:val="00F93BD5"/>
    <w:rsid w:val="00FB26CC"/>
    <w:rsid w:val="00FB6612"/>
    <w:rsid w:val="00FD59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040"/>
    <w:pPr>
      <w:spacing w:after="0" w:line="240" w:lineRule="auto"/>
    </w:pPr>
    <w:rPr>
      <w:rFonts w:ascii="Times New Roman" w:hAnsi="Times New Roman"/>
    </w:rPr>
  </w:style>
  <w:style w:type="paragraph" w:styleId="Heading1">
    <w:name w:val="heading 1"/>
    <w:basedOn w:val="Normal"/>
    <w:next w:val="Normal"/>
    <w:link w:val="Heading1Char"/>
    <w:uiPriority w:val="9"/>
    <w:qFormat/>
    <w:rsid w:val="006D068C"/>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068C"/>
    <w:pPr>
      <w:keepNext/>
      <w:keepLines/>
      <w:spacing w:before="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D068C"/>
    <w:rPr>
      <w:rFonts w:asciiTheme="majorHAnsi" w:eastAsiaTheme="majorEastAsia" w:hAnsiTheme="majorHAnsi" w:cstheme="majorBidi"/>
      <w:b/>
      <w:bCs/>
      <w:color w:val="4F81BD" w:themeColor="accent1"/>
      <w:sz w:val="26"/>
      <w:szCs w:val="26"/>
    </w:rPr>
  </w:style>
  <w:style w:type="paragraph" w:customStyle="1" w:styleId="Text">
    <w:name w:val="Text"/>
    <w:basedOn w:val="Normal"/>
    <w:qFormat/>
    <w:rsid w:val="00901735"/>
    <w:pPr>
      <w:spacing w:before="40" w:after="40"/>
      <w:jc w:val="both"/>
    </w:pPr>
    <w:rPr>
      <w:rFonts w:cs="Arial"/>
    </w:rPr>
  </w:style>
  <w:style w:type="paragraph" w:styleId="Header">
    <w:name w:val="header"/>
    <w:basedOn w:val="Normal"/>
    <w:link w:val="HeaderChar"/>
    <w:uiPriority w:val="99"/>
    <w:unhideWhenUsed/>
    <w:rsid w:val="00AB1590"/>
    <w:pPr>
      <w:tabs>
        <w:tab w:val="center" w:pos="4513"/>
        <w:tab w:val="right" w:pos="9026"/>
      </w:tabs>
    </w:pPr>
  </w:style>
  <w:style w:type="character" w:customStyle="1" w:styleId="HeaderChar">
    <w:name w:val="Header Char"/>
    <w:basedOn w:val="DefaultParagraphFont"/>
    <w:link w:val="Header"/>
    <w:uiPriority w:val="99"/>
    <w:rsid w:val="00AB1590"/>
    <w:rPr>
      <w:rFonts w:ascii="Arial" w:hAnsi="Arial"/>
    </w:rPr>
  </w:style>
  <w:style w:type="paragraph" w:styleId="Footer">
    <w:name w:val="footer"/>
    <w:basedOn w:val="Normal"/>
    <w:link w:val="FooterChar"/>
    <w:uiPriority w:val="99"/>
    <w:semiHidden/>
    <w:unhideWhenUsed/>
    <w:rsid w:val="00AB1590"/>
    <w:pPr>
      <w:tabs>
        <w:tab w:val="center" w:pos="4513"/>
        <w:tab w:val="right" w:pos="9026"/>
      </w:tabs>
    </w:pPr>
  </w:style>
  <w:style w:type="character" w:customStyle="1" w:styleId="FooterChar">
    <w:name w:val="Footer Char"/>
    <w:basedOn w:val="DefaultParagraphFont"/>
    <w:link w:val="Footer"/>
    <w:uiPriority w:val="99"/>
    <w:semiHidden/>
    <w:rsid w:val="00AB1590"/>
    <w:rPr>
      <w:rFonts w:ascii="Arial" w:hAnsi="Arial"/>
    </w:rPr>
  </w:style>
  <w:style w:type="table" w:styleId="TableGrid">
    <w:name w:val="Table Grid"/>
    <w:basedOn w:val="TableNormal"/>
    <w:uiPriority w:val="59"/>
    <w:rsid w:val="001D60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63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Jamaica Post Office Act of 1867</vt:lpstr>
    </vt:vector>
  </TitlesOfParts>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Jamaica Post Office Act of 1910</dc:title>
  <dc:creator>Steve Jarvis</dc:creator>
  <cp:lastModifiedBy>Steve Jarvis</cp:lastModifiedBy>
  <cp:revision>8</cp:revision>
  <cp:lastPrinted>2010-09-07T13:36:00Z</cp:lastPrinted>
  <dcterms:created xsi:type="dcterms:W3CDTF">2010-09-08T10:06:00Z</dcterms:created>
  <dcterms:modified xsi:type="dcterms:W3CDTF">2010-09-08T16:59:00Z</dcterms:modified>
</cp:coreProperties>
</file>